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INSTRUCTIVO DE RENDICIÓN DE GASTOS</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“PROYECTOS PARA EL FORTALECIMIENTO DE TERMAS EN DESTINOS EMERGENTES”</w:t>
      </w:r>
    </w:p>
    <w:p w:rsidR="00000000" w:rsidDel="00000000" w:rsidP="00000000" w:rsidRDefault="00000000" w:rsidRPr="00000000" w14:paraId="00000004">
      <w:pPr>
        <w:spacing w:after="0" w:line="360" w:lineRule="auto"/>
        <w:ind w:left="0" w:right="-80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360" w:lineRule="auto"/>
        <w:ind w:left="0" w:right="-80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60" w:lineRule="auto"/>
        <w:ind w:left="0" w:right="-801" w:firstLine="0"/>
        <w:jc w:val="both"/>
        <w:rPr>
          <w:rFonts w:ascii="Arial" w:cs="Arial" w:eastAsia="Arial" w:hAnsi="Arial"/>
          <w:color w:val="000000"/>
        </w:rPr>
      </w:pPr>
      <w:r w:rsidDel="00000000" w:rsidR="00000000" w:rsidRPr="00000000">
        <w:rPr>
          <w:rFonts w:ascii="Arial" w:cs="Arial" w:eastAsia="Arial" w:hAnsi="Arial"/>
          <w:rtl w:val="0"/>
        </w:rPr>
        <w:t xml:space="preserve">El beneficiario por la asistencia económica en el marco de los “PROYECTOS PARA EL FORTALECIMIENTO DE TERMAS EN DESTINOS EMERGENTES”, transcurrido los 90 días hábiles de recibida la transferencia, deberá rendir al Ministerio de Turismo y Deportes de la Nación el uso de dicho beneficio </w:t>
      </w:r>
      <w:r w:rsidDel="00000000" w:rsidR="00000000" w:rsidRPr="00000000">
        <w:rPr>
          <w:rFonts w:ascii="Arial" w:cs="Arial" w:eastAsia="Arial" w:hAnsi="Arial"/>
          <w:rtl w:val="0"/>
        </w:rPr>
        <w:t xml:space="preserve">conforme lo previsto en el Reglamento de Rendiciones de Cuenta aprobado </w:t>
      </w:r>
      <w:r w:rsidDel="00000000" w:rsidR="00000000" w:rsidRPr="00000000">
        <w:rPr>
          <w:rFonts w:ascii="Arial" w:cs="Arial" w:eastAsia="Arial" w:hAnsi="Arial"/>
          <w:color w:val="000000"/>
          <w:rtl w:val="0"/>
        </w:rPr>
        <w:t xml:space="preserve">por la Resolución N° 159 de fecha 13 de abril de 2022</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7">
      <w:pPr>
        <w:spacing w:after="0" w:line="360" w:lineRule="auto"/>
        <w:ind w:left="0" w:right="-801"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 tal fin, deberá presentar la siguiente documentación:</w:t>
      </w:r>
    </w:p>
    <w:p w:rsidR="00000000" w:rsidDel="00000000" w:rsidP="00000000" w:rsidRDefault="00000000" w:rsidRPr="00000000" w14:paraId="00000008">
      <w:pPr>
        <w:spacing w:after="0" w:line="360" w:lineRule="auto"/>
        <w:ind w:left="0" w:right="-801" w:firstLine="0"/>
        <w:jc w:val="both"/>
        <w:rPr>
          <w:sz w:val="20"/>
          <w:szCs w:val="20"/>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801" w:firstLine="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Informe descriptivo donde se pueda comprobar el cumplimiento </w:t>
      </w:r>
      <w:r w:rsidDel="00000000" w:rsidR="00000000" w:rsidRPr="00000000">
        <w:rPr>
          <w:rFonts w:ascii="Arial" w:cs="Arial" w:eastAsia="Arial" w:hAnsi="Arial"/>
          <w:rtl w:val="0"/>
        </w:rPr>
        <w:t xml:space="preserve">de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los </w:t>
      </w:r>
      <w:r w:rsidDel="00000000" w:rsidR="00000000" w:rsidRPr="00000000">
        <w:rPr>
          <w:rFonts w:ascii="Arial" w:cs="Arial" w:eastAsia="Arial" w:hAnsi="Arial"/>
          <w:rtl w:val="0"/>
        </w:rPr>
        <w:t xml:space="preserve">objetivos    planteados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en la ficha de solicitud.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801" w:firstLine="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Relevamiento fotográfico de las intervenciones físicas realizadas.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801" w:firstLine="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Rendición Contable: Declaración jurada de</w:t>
      </w:r>
      <w:r w:rsidDel="00000000" w:rsidR="00000000" w:rsidRPr="00000000">
        <w:rPr>
          <w:rFonts w:ascii="Arial" w:cs="Arial" w:eastAsia="Arial" w:hAnsi="Arial"/>
          <w:rtl w:val="0"/>
        </w:rPr>
        <w:t xml:space="preserve"> la máxima autoridad provincial de turismo,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sobre aplicación de</w:t>
      </w:r>
      <w:r w:rsidDel="00000000" w:rsidR="00000000" w:rsidRPr="00000000">
        <w:rPr>
          <w:rFonts w:ascii="Arial" w:cs="Arial" w:eastAsia="Arial" w:hAnsi="Arial"/>
          <w:rtl w:val="0"/>
        </w:rPr>
        <w:t xml:space="preserve"> f</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ondos de subsidio, y presentación de facturas correspondientes.</w:t>
      </w:r>
    </w:p>
    <w:p w:rsidR="00000000" w:rsidDel="00000000" w:rsidP="00000000" w:rsidRDefault="00000000" w:rsidRPr="00000000" w14:paraId="0000000C">
      <w:pPr>
        <w:spacing w:after="0" w:line="360" w:lineRule="auto"/>
        <w:ind w:left="0" w:right="-8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360" w:lineRule="auto"/>
        <w:ind w:left="0" w:right="-801" w:firstLine="0"/>
        <w:jc w:val="both"/>
        <w:rPr>
          <w:rFonts w:ascii="Arial" w:cs="Arial" w:eastAsia="Arial" w:hAnsi="Arial"/>
        </w:rPr>
      </w:pPr>
      <w:r w:rsidDel="00000000" w:rsidR="00000000" w:rsidRPr="00000000">
        <w:rPr>
          <w:rFonts w:ascii="Arial" w:cs="Arial" w:eastAsia="Arial" w:hAnsi="Arial"/>
          <w:rtl w:val="0"/>
        </w:rPr>
        <w:t xml:space="preserve">ACLARACIÓN IMPORTANTE:</w:t>
      </w:r>
    </w:p>
    <w:p w:rsidR="00000000" w:rsidDel="00000000" w:rsidP="00000000" w:rsidRDefault="00000000" w:rsidRPr="00000000" w14:paraId="0000000E">
      <w:pPr>
        <w:spacing w:after="0" w:line="360" w:lineRule="auto"/>
        <w:ind w:left="0" w:right="-8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360" w:lineRule="auto"/>
        <w:ind w:left="0" w:right="-801" w:firstLine="0"/>
        <w:jc w:val="both"/>
        <w:rPr>
          <w:rFonts w:ascii="Arial" w:cs="Arial" w:eastAsia="Arial" w:hAnsi="Arial"/>
        </w:rPr>
      </w:pPr>
      <w:r w:rsidDel="00000000" w:rsidR="00000000" w:rsidRPr="00000000">
        <w:rPr>
          <w:rFonts w:ascii="Arial" w:cs="Arial" w:eastAsia="Arial" w:hAnsi="Arial"/>
          <w:rtl w:val="0"/>
        </w:rPr>
        <w:t xml:space="preserve">Los comprobantes deben ser emitidos conforme Resolución General Nº 1415/2003/AFIP. </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460" w:hanging="360"/>
      </w:pPr>
      <w:rPr/>
    </w:lvl>
    <w:lvl w:ilvl="2">
      <w:start w:val="1"/>
      <w:numFmt w:val="lowerRoman"/>
      <w:lvlText w:val="%3."/>
      <w:lvlJc w:val="right"/>
      <w:pPr>
        <w:ind w:left="8180" w:hanging="180"/>
      </w:pPr>
      <w:rPr/>
    </w:lvl>
    <w:lvl w:ilvl="3">
      <w:start w:val="1"/>
      <w:numFmt w:val="decimal"/>
      <w:lvlText w:val="%4."/>
      <w:lvlJc w:val="left"/>
      <w:pPr>
        <w:ind w:left="8900" w:hanging="360"/>
      </w:pPr>
      <w:rPr/>
    </w:lvl>
    <w:lvl w:ilvl="4">
      <w:start w:val="1"/>
      <w:numFmt w:val="lowerLetter"/>
      <w:lvlText w:val="%5."/>
      <w:lvlJc w:val="left"/>
      <w:pPr>
        <w:ind w:left="9620" w:hanging="360"/>
      </w:pPr>
      <w:rPr/>
    </w:lvl>
    <w:lvl w:ilvl="5">
      <w:start w:val="1"/>
      <w:numFmt w:val="lowerRoman"/>
      <w:lvlText w:val="%6."/>
      <w:lvlJc w:val="right"/>
      <w:pPr>
        <w:ind w:left="10340" w:hanging="180"/>
      </w:pPr>
      <w:rPr/>
    </w:lvl>
    <w:lvl w:ilvl="6">
      <w:start w:val="1"/>
      <w:numFmt w:val="decimal"/>
      <w:lvlText w:val="%7."/>
      <w:lvlJc w:val="left"/>
      <w:pPr>
        <w:ind w:left="11060" w:hanging="360"/>
      </w:pPr>
      <w:rPr/>
    </w:lvl>
    <w:lvl w:ilvl="7">
      <w:start w:val="1"/>
      <w:numFmt w:val="lowerLetter"/>
      <w:lvlText w:val="%8."/>
      <w:lvlJc w:val="left"/>
      <w:pPr>
        <w:ind w:left="11780" w:hanging="360"/>
      </w:pPr>
      <w:rPr/>
    </w:lvl>
    <w:lvl w:ilvl="8">
      <w:start w:val="1"/>
      <w:numFmt w:val="lowerRoman"/>
      <w:lvlText w:val="%9."/>
      <w:lvlJc w:val="right"/>
      <w:pPr>
        <w:ind w:left="125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34EA"/>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44A29"/>
    <w:pPr>
      <w:ind w:left="720"/>
      <w:contextualSpacing w:val="1"/>
    </w:pPr>
  </w:style>
  <w:style w:type="paragraph" w:styleId="Textocomentario">
    <w:name w:val="annotation text"/>
    <w:basedOn w:val="Normal"/>
    <w:link w:val="TextocomentarioCar"/>
    <w:uiPriority w:val="99"/>
    <w:semiHidden w:val="1"/>
    <w:unhideWhenUsed w:val="1"/>
    <w:rsid w:val="00F81113"/>
    <w:pPr>
      <w:spacing w:after="160" w:line="240" w:lineRule="auto"/>
    </w:pPr>
    <w:rPr>
      <w:rFonts w:ascii="Calibri" w:cs="Times New Roman" w:eastAsia="Calibri" w:hAnsi="Calibri"/>
      <w:sz w:val="20"/>
      <w:szCs w:val="20"/>
      <w:lang w:eastAsia="en-US"/>
    </w:rPr>
  </w:style>
  <w:style w:type="character" w:styleId="TextocomentarioCar" w:customStyle="1">
    <w:name w:val="Texto comentario Car"/>
    <w:basedOn w:val="Fuentedeprrafopredeter"/>
    <w:link w:val="Textocomentario"/>
    <w:uiPriority w:val="99"/>
    <w:semiHidden w:val="1"/>
    <w:rsid w:val="00F81113"/>
    <w:rPr>
      <w:rFonts w:ascii="Calibri" w:cs="Times New Roman" w:eastAsia="Calibri" w:hAnsi="Calibri"/>
      <w:sz w:val="20"/>
      <w:szCs w:val="20"/>
      <w:lang w:eastAsia="en-US"/>
    </w:rPr>
  </w:style>
  <w:style w:type="character" w:styleId="Refdecomentario">
    <w:name w:val="annotation reference"/>
    <w:basedOn w:val="Fuentedeprrafopredeter"/>
    <w:uiPriority w:val="99"/>
    <w:semiHidden w:val="1"/>
    <w:unhideWhenUsed w:val="1"/>
    <w:rsid w:val="00F81113"/>
    <w:rPr>
      <w:sz w:val="16"/>
      <w:szCs w:val="16"/>
    </w:rPr>
  </w:style>
  <w:style w:type="paragraph" w:styleId="Textodeglobo">
    <w:name w:val="Balloon Text"/>
    <w:basedOn w:val="Normal"/>
    <w:link w:val="TextodegloboCar"/>
    <w:uiPriority w:val="99"/>
    <w:semiHidden w:val="1"/>
    <w:unhideWhenUsed w:val="1"/>
    <w:rsid w:val="00F8111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8111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DXN1Z3Bp0anWXr4+X8PMiurK7g==">AMUW2mVhBmhRzORWDMMZHeNY80xjNdqEoSrrcQpzEy1Y+6XOE4l3jLjwtkd/yhiTQJF1QEBliOaSoX5lUYo8fnqoFnkmE+H26uswnqsItP17y7jAfb10P9k=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2022-06-14T18:39:00Z</dcterms:created>
  <dc:creator>user acer</dc:creator>
</cp:coreProperties>
</file>